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31" w:rsidRPr="005241FB" w:rsidRDefault="00264131" w:rsidP="00264131">
      <w:pPr>
        <w:pStyle w:val="BodyText"/>
        <w:jc w:val="center"/>
        <w:rPr>
          <w:sz w:val="24"/>
          <w:szCs w:val="24"/>
        </w:rPr>
      </w:pPr>
      <w:bookmarkStart w:id="0" w:name="_GoBack"/>
      <w:bookmarkEnd w:id="0"/>
      <w:r w:rsidRPr="005241FB">
        <w:rPr>
          <w:sz w:val="24"/>
          <w:szCs w:val="24"/>
        </w:rPr>
        <w:t>Naming Opportunity</w:t>
      </w:r>
    </w:p>
    <w:p w:rsidR="00264131" w:rsidRDefault="00264131" w:rsidP="00264131">
      <w:pPr>
        <w:pStyle w:val="BodyText"/>
        <w:jc w:val="center"/>
        <w:rPr>
          <w:sz w:val="24"/>
          <w:szCs w:val="24"/>
        </w:rPr>
      </w:pPr>
      <w:r>
        <w:rPr>
          <w:sz w:val="24"/>
          <w:szCs w:val="24"/>
        </w:rPr>
        <w:t>Missouri Agroforestry Research Site</w:t>
      </w:r>
    </w:p>
    <w:p w:rsidR="00264131" w:rsidRDefault="00264131" w:rsidP="00264131">
      <w:pPr>
        <w:pStyle w:val="BodyText"/>
        <w:jc w:val="center"/>
        <w:rPr>
          <w:sz w:val="24"/>
          <w:szCs w:val="24"/>
        </w:rPr>
      </w:pPr>
      <w:r>
        <w:rPr>
          <w:sz w:val="24"/>
          <w:szCs w:val="24"/>
        </w:rPr>
        <w:t>MU</w:t>
      </w:r>
    </w:p>
    <w:p w:rsidR="00264131" w:rsidRDefault="00264131" w:rsidP="00264131">
      <w:pPr>
        <w:pStyle w:val="BodyText"/>
        <w:jc w:val="center"/>
        <w:rPr>
          <w:sz w:val="24"/>
          <w:szCs w:val="24"/>
        </w:rPr>
      </w:pPr>
    </w:p>
    <w:p w:rsidR="00264131" w:rsidRPr="005241FB" w:rsidRDefault="00264131" w:rsidP="00264131">
      <w:pPr>
        <w:pStyle w:val="BodyText"/>
        <w:jc w:val="center"/>
        <w:rPr>
          <w:sz w:val="24"/>
          <w:szCs w:val="24"/>
        </w:rPr>
      </w:pPr>
    </w:p>
    <w:p w:rsidR="00264131" w:rsidRDefault="00264131" w:rsidP="00264131">
      <w:pPr>
        <w:jc w:val="both"/>
        <w:rPr>
          <w:sz w:val="24"/>
        </w:rPr>
      </w:pPr>
      <w:r w:rsidRPr="002E0823">
        <w:rPr>
          <w:sz w:val="24"/>
        </w:rPr>
        <w:t>Pursuant to CRR 110.080</w:t>
      </w:r>
      <w:r w:rsidRPr="00467B79">
        <w:rPr>
          <w:sz w:val="24"/>
        </w:rPr>
        <w:t xml:space="preserve">, naming of buildings and exterior areas requires Board approval.  </w:t>
      </w:r>
      <w:r>
        <w:rPr>
          <w:sz w:val="24"/>
        </w:rPr>
        <w:t xml:space="preserve">University of Missouri-Columbia </w:t>
      </w:r>
      <w:r w:rsidRPr="00467B79">
        <w:rPr>
          <w:sz w:val="24"/>
        </w:rPr>
        <w:t xml:space="preserve">requests approval to name the </w:t>
      </w:r>
      <w:r>
        <w:rPr>
          <w:sz w:val="24"/>
        </w:rPr>
        <w:t>Laurie, Missouri Agroforestry Research Site the “Land of the Osages Research Center.”</w:t>
      </w:r>
    </w:p>
    <w:p w:rsidR="00264131" w:rsidRDefault="00264131" w:rsidP="00264131">
      <w:pPr>
        <w:jc w:val="both"/>
        <w:rPr>
          <w:sz w:val="24"/>
        </w:rPr>
      </w:pPr>
    </w:p>
    <w:p w:rsidR="00264131" w:rsidRDefault="00264131" w:rsidP="00264131">
      <w:pPr>
        <w:jc w:val="both"/>
        <w:rPr>
          <w:sz w:val="24"/>
        </w:rPr>
      </w:pPr>
      <w:r w:rsidRPr="00467B79">
        <w:rPr>
          <w:sz w:val="24"/>
        </w:rPr>
        <w:t xml:space="preserve">The naming is in recognition of </w:t>
      </w:r>
      <w:r>
        <w:rPr>
          <w:sz w:val="24"/>
        </w:rPr>
        <w:t xml:space="preserve">the wishes of Mr. Douglas Allen who has demonstrated his generosity within the MU College of Agriculture, Food and Natural Resources (CAFNR) with his philanthropic support of the H. Gene Garrett Chair of Agroforestry position totaling more than $2 million.  His passion for agroforestry is now demonstrated by his donation of a 521 acre plot of land located in Laurie, Missouri to the University </w:t>
      </w:r>
      <w:proofErr w:type="gramStart"/>
      <w:r>
        <w:rPr>
          <w:sz w:val="24"/>
        </w:rPr>
        <w:t>of</w:t>
      </w:r>
      <w:proofErr w:type="gramEnd"/>
      <w:r>
        <w:rPr>
          <w:sz w:val="24"/>
        </w:rPr>
        <w:t xml:space="preserve"> Missouri Center for Agroforestry and an additional endowment of $5 million to support the research and educational activities on this land.  </w:t>
      </w:r>
    </w:p>
    <w:p w:rsidR="00264131" w:rsidRDefault="00264131" w:rsidP="00264131">
      <w:pPr>
        <w:jc w:val="both"/>
        <w:rPr>
          <w:sz w:val="24"/>
        </w:rPr>
      </w:pPr>
    </w:p>
    <w:p w:rsidR="00264131" w:rsidRDefault="00264131" w:rsidP="00264131">
      <w:pPr>
        <w:jc w:val="both"/>
        <w:rPr>
          <w:sz w:val="24"/>
        </w:rPr>
      </w:pPr>
      <w:r w:rsidRPr="000C1585">
        <w:rPr>
          <w:sz w:val="24"/>
        </w:rPr>
        <w:t>Current Agroforestry research efforts at this site include prairie restoration for quail habitat, the cultivation and growth of high value nut trees (pecan, black walnut and Chinese chestnuts), and forest farming that includes high value medicinal plants and mushrooms. Future plans for this site will include additional demonstration trials on all agroforestry practices, educational kiosks to introduce the Osage Nation history and include information on the tribe</w:t>
      </w:r>
      <w:r>
        <w:rPr>
          <w:sz w:val="24"/>
        </w:rPr>
        <w:t>’</w:t>
      </w:r>
      <w:r w:rsidRPr="000C1585">
        <w:rPr>
          <w:sz w:val="24"/>
        </w:rPr>
        <w:t>s traditional land use systems and their alignment with modern agroforestry practices, as well as the hiring of interns, graduate students and additional staff to manage the property.</w:t>
      </w:r>
    </w:p>
    <w:p w:rsidR="00264131" w:rsidRDefault="00264131" w:rsidP="00264131">
      <w:pPr>
        <w:jc w:val="both"/>
        <w:rPr>
          <w:sz w:val="24"/>
        </w:rPr>
      </w:pPr>
    </w:p>
    <w:p w:rsidR="00264131" w:rsidRDefault="00264131" w:rsidP="00264131">
      <w:pPr>
        <w:jc w:val="both"/>
        <w:rPr>
          <w:sz w:val="24"/>
        </w:rPr>
      </w:pPr>
      <w:r w:rsidRPr="000C1585">
        <w:rPr>
          <w:sz w:val="24"/>
        </w:rPr>
        <w:t xml:space="preserve">Mr. Allen wanted the name of this site to reflect </w:t>
      </w:r>
      <w:r>
        <w:rPr>
          <w:sz w:val="24"/>
        </w:rPr>
        <w:t>its possession by the Osage Nation before being relocated to Oklahoma in the 1800s.</w:t>
      </w:r>
      <w:r w:rsidRPr="000C1585">
        <w:rPr>
          <w:sz w:val="24"/>
        </w:rPr>
        <w:t xml:space="preserve"> </w:t>
      </w:r>
      <w:r>
        <w:rPr>
          <w:sz w:val="24"/>
        </w:rPr>
        <w:t xml:space="preserve"> </w:t>
      </w:r>
      <w:r w:rsidRPr="000C1585">
        <w:rPr>
          <w:sz w:val="24"/>
        </w:rPr>
        <w:t xml:space="preserve">This has given </w:t>
      </w:r>
      <w:r>
        <w:rPr>
          <w:sz w:val="24"/>
        </w:rPr>
        <w:t>CAFNR</w:t>
      </w:r>
      <w:r w:rsidRPr="000C1585">
        <w:rPr>
          <w:sz w:val="24"/>
        </w:rPr>
        <w:t xml:space="preserve"> the opportunity to connect with tribal leadership within Osage Nation as </w:t>
      </w:r>
      <w:r>
        <w:rPr>
          <w:sz w:val="24"/>
        </w:rPr>
        <w:t>they</w:t>
      </w:r>
      <w:r w:rsidRPr="000C1585">
        <w:rPr>
          <w:sz w:val="24"/>
        </w:rPr>
        <w:t xml:space="preserve"> worked to seek approval from the Tribal Cultural Advisory Committee of the Osage Nation.</w:t>
      </w:r>
    </w:p>
    <w:p w:rsidR="00264131" w:rsidRDefault="00264131" w:rsidP="00264131">
      <w:pPr>
        <w:jc w:val="both"/>
        <w:rPr>
          <w:sz w:val="24"/>
        </w:rPr>
      </w:pPr>
    </w:p>
    <w:p w:rsidR="00264131" w:rsidRDefault="00264131" w:rsidP="00264131">
      <w:pPr>
        <w:jc w:val="both"/>
        <w:rPr>
          <w:sz w:val="24"/>
        </w:rPr>
      </w:pPr>
      <w:r w:rsidRPr="00467B79">
        <w:rPr>
          <w:sz w:val="24"/>
        </w:rPr>
        <w:t xml:space="preserve">University of Missouri </w:t>
      </w:r>
      <w:r>
        <w:rPr>
          <w:sz w:val="24"/>
        </w:rPr>
        <w:t xml:space="preserve">System </w:t>
      </w:r>
      <w:r w:rsidRPr="00467B79">
        <w:rPr>
          <w:sz w:val="24"/>
        </w:rPr>
        <w:t xml:space="preserve">President Mun Choi, </w:t>
      </w:r>
      <w:r>
        <w:rPr>
          <w:sz w:val="24"/>
        </w:rPr>
        <w:t xml:space="preserve">University of Missouri-Columbia </w:t>
      </w:r>
      <w:r w:rsidRPr="00467B79">
        <w:rPr>
          <w:sz w:val="24"/>
        </w:rPr>
        <w:t>Chancellor</w:t>
      </w:r>
      <w:r>
        <w:rPr>
          <w:sz w:val="24"/>
        </w:rPr>
        <w:t xml:space="preserve"> Alexander Cartwright, University of Missouri Provost, Latha Ramchand, and University of Missouri-Columbia </w:t>
      </w:r>
      <w:r w:rsidRPr="00467B79">
        <w:rPr>
          <w:sz w:val="24"/>
        </w:rPr>
        <w:t>Vice Chancellor of University Advancement</w:t>
      </w:r>
      <w:r>
        <w:rPr>
          <w:sz w:val="24"/>
        </w:rPr>
        <w:t>, Tom Hiles</w:t>
      </w:r>
      <w:r w:rsidRPr="00467B79">
        <w:rPr>
          <w:sz w:val="24"/>
        </w:rPr>
        <w:t xml:space="preserve">, are all in support of this naming. </w:t>
      </w:r>
    </w:p>
    <w:p w:rsidR="00264131" w:rsidRDefault="00264131" w:rsidP="00264131">
      <w:pPr>
        <w:widowControl/>
        <w:autoSpaceDE/>
        <w:autoSpaceDN/>
        <w:spacing w:after="160" w:line="259" w:lineRule="auto"/>
        <w:rPr>
          <w:sz w:val="24"/>
        </w:rPr>
      </w:pPr>
      <w:r>
        <w:rPr>
          <w:sz w:val="24"/>
        </w:rPr>
        <w:br w:type="page"/>
      </w:r>
    </w:p>
    <w:p w:rsidR="00264131" w:rsidRPr="000C7B01" w:rsidRDefault="00264131" w:rsidP="00264131">
      <w:pPr>
        <w:jc w:val="both"/>
      </w:pPr>
      <w:r w:rsidRPr="000C7B01">
        <w:lastRenderedPageBreak/>
        <w:t xml:space="preserve">No. </w:t>
      </w:r>
      <w:r>
        <w:t>6</w:t>
      </w:r>
    </w:p>
    <w:p w:rsidR="00264131" w:rsidRPr="009D6E10" w:rsidRDefault="00264131" w:rsidP="00264131">
      <w:pPr>
        <w:jc w:val="both"/>
      </w:pPr>
    </w:p>
    <w:p w:rsidR="00264131" w:rsidRPr="009D6E10" w:rsidRDefault="00264131" w:rsidP="00264131">
      <w:pPr>
        <w:jc w:val="both"/>
      </w:pPr>
    </w:p>
    <w:p w:rsidR="00264131" w:rsidRPr="009D6E10" w:rsidRDefault="00264131" w:rsidP="00264131">
      <w:pPr>
        <w:jc w:val="both"/>
      </w:pPr>
    </w:p>
    <w:p w:rsidR="00264131" w:rsidRPr="000450C3" w:rsidRDefault="00264131" w:rsidP="00264131">
      <w:pPr>
        <w:pStyle w:val="BodyText"/>
        <w:ind w:right="-450"/>
      </w:pPr>
      <w:r w:rsidRPr="000C7B01">
        <w:t xml:space="preserve">Recommended Action - </w:t>
      </w:r>
      <w:r w:rsidRPr="000C7B01">
        <w:tab/>
      </w:r>
      <w:r w:rsidRPr="005241FB">
        <w:rPr>
          <w:sz w:val="24"/>
          <w:szCs w:val="24"/>
        </w:rPr>
        <w:t>Naming Opportunity</w:t>
      </w:r>
      <w:r>
        <w:rPr>
          <w:szCs w:val="24"/>
        </w:rPr>
        <w:t xml:space="preserve">, </w:t>
      </w:r>
      <w:r>
        <w:rPr>
          <w:sz w:val="24"/>
          <w:szCs w:val="24"/>
        </w:rPr>
        <w:t>Missouri Agroforestry Research Site</w:t>
      </w:r>
      <w:r>
        <w:rPr>
          <w:szCs w:val="24"/>
        </w:rPr>
        <w:t>, MU</w:t>
      </w:r>
    </w:p>
    <w:p w:rsidR="00264131" w:rsidRPr="000450C3" w:rsidRDefault="00264131" w:rsidP="00264131">
      <w:pPr>
        <w:jc w:val="both"/>
      </w:pPr>
    </w:p>
    <w:p w:rsidR="00264131" w:rsidRDefault="00264131" w:rsidP="00264131">
      <w:pPr>
        <w:jc w:val="both"/>
      </w:pPr>
    </w:p>
    <w:p w:rsidR="00264131" w:rsidRPr="000450C3" w:rsidRDefault="00264131" w:rsidP="00264131">
      <w:pPr>
        <w:jc w:val="both"/>
      </w:pPr>
    </w:p>
    <w:p w:rsidR="00264131" w:rsidRPr="000C7B01" w:rsidRDefault="00264131" w:rsidP="00264131">
      <w:pPr>
        <w:spacing w:line="360" w:lineRule="auto"/>
        <w:jc w:val="both"/>
      </w:pPr>
      <w:r w:rsidRPr="000C7B01">
        <w:tab/>
        <w:t>It was recommended by Chancellor</w:t>
      </w:r>
      <w:r>
        <w:t xml:space="preserve"> Cartwright</w:t>
      </w:r>
      <w:r w:rsidRPr="000C7B01">
        <w:t>, endorsed by President</w:t>
      </w:r>
      <w:r>
        <w:t xml:space="preserve"> Choi</w:t>
      </w:r>
      <w:r w:rsidRPr="000C7B01">
        <w:t>, recommended by the Finance Committee, moved by Curator _________________ and seconded by Curator ________________, that the following action be approved:</w:t>
      </w:r>
    </w:p>
    <w:p w:rsidR="00264131" w:rsidRDefault="00264131" w:rsidP="00264131">
      <w:pPr>
        <w:ind w:left="720"/>
        <w:jc w:val="both"/>
      </w:pPr>
    </w:p>
    <w:p w:rsidR="00264131" w:rsidRPr="002E4F35" w:rsidRDefault="00264131" w:rsidP="00264131">
      <w:pPr>
        <w:ind w:left="720"/>
        <w:jc w:val="both"/>
      </w:pPr>
      <w:proofErr w:type="gramStart"/>
      <w:r>
        <w:t>that</w:t>
      </w:r>
      <w:proofErr w:type="gramEnd"/>
      <w:r>
        <w:t xml:space="preserve"> Missouri Agroforestry Research Site in Laurie, Missouri be named the Land of the Osages Research Center  in recognition of the gifts from Mr. Douglas Allen.</w:t>
      </w:r>
    </w:p>
    <w:p w:rsidR="00264131" w:rsidRPr="00E20289" w:rsidRDefault="00264131" w:rsidP="00264131">
      <w:pPr>
        <w:tabs>
          <w:tab w:val="right" w:pos="8640"/>
        </w:tabs>
        <w:ind w:left="1080"/>
        <w:jc w:val="both"/>
      </w:pPr>
    </w:p>
    <w:p w:rsidR="00264131" w:rsidRPr="00E637FD" w:rsidRDefault="00264131" w:rsidP="00264131">
      <w:pPr>
        <w:pStyle w:val="BodyText"/>
        <w:rPr>
          <w:sz w:val="16"/>
          <w:szCs w:val="16"/>
        </w:rPr>
      </w:pPr>
      <w:r w:rsidRPr="00E637FD">
        <w:rPr>
          <w:sz w:val="16"/>
          <w:szCs w:val="16"/>
        </w:rPr>
        <w:tab/>
      </w:r>
    </w:p>
    <w:p w:rsidR="00264131" w:rsidRPr="00E93748" w:rsidRDefault="00264131" w:rsidP="000A2F8D">
      <w:pPr>
        <w:pStyle w:val="BodyText"/>
        <w:spacing w:line="480" w:lineRule="auto"/>
        <w:ind w:firstLine="720"/>
      </w:pPr>
      <w:r w:rsidRPr="00E93748">
        <w:t>Roll call vote of the Committee:</w:t>
      </w:r>
      <w:r w:rsidRPr="00E93748">
        <w:tab/>
      </w:r>
      <w:r w:rsidRPr="00E93748">
        <w:tab/>
      </w:r>
      <w:r w:rsidRPr="00E93748">
        <w:tab/>
      </w:r>
      <w:r w:rsidRPr="00E93748">
        <w:tab/>
        <w:t>YES</w:t>
      </w:r>
      <w:r w:rsidRPr="00E93748">
        <w:tab/>
      </w:r>
      <w:r w:rsidRPr="00E93748">
        <w:tab/>
        <w:t>NO</w:t>
      </w:r>
    </w:p>
    <w:p w:rsidR="00264131" w:rsidRPr="00E93748" w:rsidRDefault="00264131" w:rsidP="00264131">
      <w:pPr>
        <w:spacing w:line="276" w:lineRule="auto"/>
        <w:ind w:left="720"/>
        <w:jc w:val="both"/>
        <w:rPr>
          <w:sz w:val="24"/>
          <w:szCs w:val="24"/>
        </w:rPr>
      </w:pPr>
      <w:r w:rsidRPr="00E93748">
        <w:rPr>
          <w:sz w:val="24"/>
          <w:szCs w:val="24"/>
        </w:rPr>
        <w:t>Curator Brncic</w:t>
      </w:r>
    </w:p>
    <w:p w:rsidR="00264131" w:rsidRPr="00E93748" w:rsidRDefault="00264131" w:rsidP="00264131">
      <w:pPr>
        <w:spacing w:line="276" w:lineRule="auto"/>
        <w:ind w:left="720"/>
        <w:jc w:val="both"/>
        <w:rPr>
          <w:sz w:val="24"/>
          <w:szCs w:val="24"/>
        </w:rPr>
      </w:pPr>
      <w:r w:rsidRPr="00E93748">
        <w:rPr>
          <w:sz w:val="24"/>
          <w:szCs w:val="24"/>
        </w:rPr>
        <w:t>Curator Chatman</w:t>
      </w:r>
    </w:p>
    <w:p w:rsidR="00264131" w:rsidRPr="00E93748" w:rsidRDefault="00264131" w:rsidP="00264131">
      <w:pPr>
        <w:spacing w:line="276" w:lineRule="auto"/>
        <w:ind w:left="720"/>
        <w:jc w:val="both"/>
        <w:rPr>
          <w:sz w:val="24"/>
          <w:szCs w:val="24"/>
        </w:rPr>
      </w:pPr>
      <w:r w:rsidRPr="00E93748">
        <w:rPr>
          <w:sz w:val="24"/>
          <w:szCs w:val="24"/>
        </w:rPr>
        <w:t>Curator Layman</w:t>
      </w:r>
    </w:p>
    <w:p w:rsidR="00264131" w:rsidRPr="00E93748" w:rsidRDefault="00264131" w:rsidP="00264131">
      <w:pPr>
        <w:spacing w:line="276" w:lineRule="auto"/>
        <w:ind w:left="720"/>
        <w:jc w:val="both"/>
        <w:rPr>
          <w:sz w:val="24"/>
          <w:szCs w:val="24"/>
        </w:rPr>
      </w:pPr>
      <w:r w:rsidRPr="00E93748">
        <w:rPr>
          <w:sz w:val="24"/>
          <w:szCs w:val="24"/>
        </w:rPr>
        <w:t>Curator Steelman</w:t>
      </w:r>
    </w:p>
    <w:p w:rsidR="00264131" w:rsidRPr="00E93748" w:rsidRDefault="00264131" w:rsidP="00264131">
      <w:pPr>
        <w:ind w:left="720"/>
        <w:jc w:val="both"/>
        <w:rPr>
          <w:sz w:val="24"/>
          <w:szCs w:val="24"/>
        </w:rPr>
      </w:pPr>
    </w:p>
    <w:p w:rsidR="00264131" w:rsidRPr="00E93748" w:rsidRDefault="00264131" w:rsidP="00264131">
      <w:pPr>
        <w:pStyle w:val="BodyText"/>
        <w:spacing w:line="480" w:lineRule="auto"/>
      </w:pPr>
      <w:r w:rsidRPr="00E93748">
        <w:tab/>
        <w:t>The motion ___________________.</w:t>
      </w:r>
    </w:p>
    <w:p w:rsidR="000A2F8D" w:rsidRDefault="000A2F8D" w:rsidP="00264131">
      <w:pPr>
        <w:spacing w:line="360" w:lineRule="auto"/>
        <w:ind w:left="720"/>
        <w:jc w:val="both"/>
        <w:rPr>
          <w:sz w:val="24"/>
          <w:szCs w:val="24"/>
        </w:rPr>
      </w:pPr>
    </w:p>
    <w:p w:rsidR="00264131" w:rsidRPr="00E93748" w:rsidRDefault="00264131" w:rsidP="00264131">
      <w:pPr>
        <w:spacing w:line="360" w:lineRule="auto"/>
        <w:ind w:left="720"/>
        <w:jc w:val="both"/>
        <w:rPr>
          <w:sz w:val="24"/>
          <w:szCs w:val="24"/>
        </w:rPr>
      </w:pPr>
      <w:r w:rsidRPr="00E93748">
        <w:rPr>
          <w:sz w:val="24"/>
          <w:szCs w:val="24"/>
        </w:rPr>
        <w:t>Roll call vote of Board of Curators:</w:t>
      </w:r>
      <w:r w:rsidRPr="00E93748">
        <w:rPr>
          <w:sz w:val="24"/>
          <w:szCs w:val="24"/>
        </w:rPr>
        <w:tab/>
      </w:r>
      <w:r w:rsidRPr="00E93748">
        <w:rPr>
          <w:sz w:val="24"/>
          <w:szCs w:val="24"/>
        </w:rPr>
        <w:tab/>
      </w:r>
      <w:r w:rsidRPr="00E93748">
        <w:rPr>
          <w:sz w:val="24"/>
          <w:szCs w:val="24"/>
        </w:rPr>
        <w:tab/>
      </w:r>
      <w:r w:rsidRPr="00E93748">
        <w:rPr>
          <w:sz w:val="24"/>
          <w:szCs w:val="24"/>
        </w:rPr>
        <w:tab/>
        <w:t>YES</w:t>
      </w:r>
      <w:r w:rsidRPr="00E93748">
        <w:rPr>
          <w:sz w:val="24"/>
          <w:szCs w:val="24"/>
        </w:rPr>
        <w:tab/>
      </w:r>
      <w:r w:rsidRPr="00E93748">
        <w:rPr>
          <w:sz w:val="24"/>
          <w:szCs w:val="24"/>
        </w:rPr>
        <w:tab/>
        <w:t>NO</w:t>
      </w:r>
    </w:p>
    <w:p w:rsidR="00264131" w:rsidRPr="00E93748" w:rsidRDefault="00264131" w:rsidP="00264131">
      <w:pPr>
        <w:spacing w:line="276" w:lineRule="auto"/>
        <w:ind w:left="720"/>
        <w:jc w:val="both"/>
        <w:rPr>
          <w:sz w:val="24"/>
          <w:szCs w:val="24"/>
        </w:rPr>
      </w:pPr>
      <w:r w:rsidRPr="00E93748">
        <w:rPr>
          <w:sz w:val="24"/>
          <w:szCs w:val="24"/>
        </w:rPr>
        <w:t>Curator Brncic</w:t>
      </w:r>
    </w:p>
    <w:p w:rsidR="00264131" w:rsidRPr="00E93748" w:rsidRDefault="00264131" w:rsidP="00264131">
      <w:pPr>
        <w:spacing w:line="276" w:lineRule="auto"/>
        <w:ind w:left="720"/>
        <w:jc w:val="both"/>
        <w:rPr>
          <w:sz w:val="24"/>
          <w:szCs w:val="24"/>
        </w:rPr>
      </w:pPr>
      <w:r w:rsidRPr="00E93748">
        <w:rPr>
          <w:sz w:val="24"/>
          <w:szCs w:val="24"/>
        </w:rPr>
        <w:t>Curator Chatman</w:t>
      </w:r>
    </w:p>
    <w:p w:rsidR="00264131" w:rsidRPr="00E93748" w:rsidRDefault="00264131" w:rsidP="00264131">
      <w:pPr>
        <w:spacing w:line="276" w:lineRule="auto"/>
        <w:ind w:left="720"/>
        <w:jc w:val="both"/>
        <w:rPr>
          <w:sz w:val="24"/>
          <w:szCs w:val="24"/>
        </w:rPr>
      </w:pPr>
      <w:r w:rsidRPr="00E93748">
        <w:rPr>
          <w:sz w:val="24"/>
          <w:szCs w:val="24"/>
        </w:rPr>
        <w:t>Curator Farmer</w:t>
      </w:r>
    </w:p>
    <w:p w:rsidR="00264131" w:rsidRPr="00E93748" w:rsidRDefault="00264131" w:rsidP="00264131">
      <w:pPr>
        <w:spacing w:line="276" w:lineRule="auto"/>
        <w:ind w:left="720"/>
        <w:jc w:val="both"/>
        <w:rPr>
          <w:sz w:val="24"/>
          <w:szCs w:val="24"/>
        </w:rPr>
      </w:pPr>
      <w:r w:rsidRPr="00E93748">
        <w:rPr>
          <w:sz w:val="24"/>
          <w:szCs w:val="24"/>
        </w:rPr>
        <w:t>Curator Graham</w:t>
      </w:r>
    </w:p>
    <w:p w:rsidR="00264131" w:rsidRPr="00E93748" w:rsidRDefault="00264131" w:rsidP="00264131">
      <w:pPr>
        <w:spacing w:line="276" w:lineRule="auto"/>
        <w:ind w:left="720"/>
        <w:jc w:val="both"/>
        <w:rPr>
          <w:sz w:val="24"/>
          <w:szCs w:val="24"/>
        </w:rPr>
      </w:pPr>
      <w:r w:rsidRPr="00E93748">
        <w:rPr>
          <w:sz w:val="24"/>
          <w:szCs w:val="24"/>
        </w:rPr>
        <w:t>Curator Layman</w:t>
      </w:r>
    </w:p>
    <w:p w:rsidR="00264131" w:rsidRPr="00E93748" w:rsidRDefault="00264131" w:rsidP="00264131">
      <w:pPr>
        <w:spacing w:line="276" w:lineRule="auto"/>
        <w:ind w:left="720"/>
        <w:jc w:val="both"/>
        <w:rPr>
          <w:sz w:val="24"/>
          <w:szCs w:val="24"/>
        </w:rPr>
      </w:pPr>
      <w:r w:rsidRPr="00E93748">
        <w:rPr>
          <w:sz w:val="24"/>
          <w:szCs w:val="24"/>
        </w:rPr>
        <w:t>Curator Phillips</w:t>
      </w:r>
    </w:p>
    <w:p w:rsidR="00264131" w:rsidRPr="00E93748" w:rsidRDefault="00264131" w:rsidP="00264131">
      <w:pPr>
        <w:spacing w:line="276" w:lineRule="auto"/>
        <w:ind w:left="720"/>
        <w:jc w:val="both"/>
        <w:rPr>
          <w:sz w:val="24"/>
          <w:szCs w:val="24"/>
        </w:rPr>
      </w:pPr>
      <w:r w:rsidRPr="00E93748">
        <w:rPr>
          <w:sz w:val="24"/>
          <w:szCs w:val="24"/>
        </w:rPr>
        <w:t>Curator Snowden</w:t>
      </w:r>
    </w:p>
    <w:p w:rsidR="00264131" w:rsidRPr="00E93748" w:rsidRDefault="00264131" w:rsidP="00264131">
      <w:pPr>
        <w:spacing w:line="276" w:lineRule="auto"/>
        <w:ind w:left="720"/>
        <w:jc w:val="both"/>
        <w:rPr>
          <w:sz w:val="24"/>
          <w:szCs w:val="24"/>
        </w:rPr>
      </w:pPr>
      <w:r w:rsidRPr="00E93748">
        <w:rPr>
          <w:sz w:val="24"/>
          <w:szCs w:val="24"/>
        </w:rPr>
        <w:t>Curator Steelman</w:t>
      </w:r>
    </w:p>
    <w:p w:rsidR="00264131" w:rsidRPr="00E93748" w:rsidRDefault="00264131" w:rsidP="00264131">
      <w:pPr>
        <w:spacing w:line="276" w:lineRule="auto"/>
        <w:ind w:left="720"/>
        <w:jc w:val="both"/>
        <w:rPr>
          <w:sz w:val="24"/>
          <w:szCs w:val="24"/>
        </w:rPr>
      </w:pPr>
      <w:r w:rsidRPr="00E93748">
        <w:rPr>
          <w:sz w:val="24"/>
          <w:szCs w:val="24"/>
        </w:rPr>
        <w:t>Curator Sundvold</w:t>
      </w:r>
    </w:p>
    <w:p w:rsidR="00264131" w:rsidRPr="00E93748" w:rsidRDefault="00264131" w:rsidP="00264131">
      <w:pPr>
        <w:spacing w:line="360" w:lineRule="auto"/>
        <w:ind w:left="720"/>
        <w:jc w:val="both"/>
        <w:rPr>
          <w:sz w:val="24"/>
          <w:szCs w:val="24"/>
        </w:rPr>
      </w:pPr>
    </w:p>
    <w:p w:rsidR="00264131" w:rsidRDefault="00264131" w:rsidP="00264131">
      <w:pPr>
        <w:ind w:left="720"/>
        <w:jc w:val="both"/>
      </w:pPr>
      <w:r w:rsidRPr="00E93748">
        <w:rPr>
          <w:sz w:val="24"/>
          <w:szCs w:val="24"/>
        </w:rPr>
        <w:t>The motion _____________________</w:t>
      </w:r>
      <w:r>
        <w:t>.</w:t>
      </w:r>
    </w:p>
    <w:p w:rsidR="00264131" w:rsidRPr="00467B79" w:rsidRDefault="00264131" w:rsidP="00264131">
      <w:pPr>
        <w:jc w:val="both"/>
        <w:rPr>
          <w:sz w:val="24"/>
        </w:rPr>
      </w:pPr>
    </w:p>
    <w:p w:rsidR="008E66E6" w:rsidRPr="00264131" w:rsidRDefault="008E66E6" w:rsidP="00264131"/>
    <w:sectPr w:rsidR="008E66E6" w:rsidRPr="00264131" w:rsidSect="0061593F">
      <w:footerReference w:type="default" r:id="rId6"/>
      <w:pgSz w:w="12240" w:h="15840" w:code="1"/>
      <w:pgMar w:top="1440" w:right="216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31" w:rsidRDefault="00264131">
      <w:r>
        <w:separator/>
      </w:r>
    </w:p>
  </w:endnote>
  <w:endnote w:type="continuationSeparator" w:id="0">
    <w:p w:rsidR="00264131" w:rsidRDefault="0026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FB" w:rsidRPr="005241FB" w:rsidRDefault="00A84ECF" w:rsidP="005241FB">
    <w:pPr>
      <w:pStyle w:val="Footer"/>
      <w:jc w:val="right"/>
      <w:rPr>
        <w:sz w:val="20"/>
        <w:szCs w:val="20"/>
      </w:rPr>
    </w:pPr>
    <w:r>
      <w:rPr>
        <w:sz w:val="20"/>
        <w:szCs w:val="20"/>
      </w:rPr>
      <w:t>April 11, 2019</w:t>
    </w:r>
  </w:p>
  <w:p w:rsidR="005241FB" w:rsidRPr="005241FB" w:rsidRDefault="008E66E6" w:rsidP="005241FB">
    <w:pPr>
      <w:pStyle w:val="Footer"/>
      <w:tabs>
        <w:tab w:val="clear" w:pos="4680"/>
        <w:tab w:val="center" w:pos="4320"/>
      </w:tabs>
      <w:jc w:val="center"/>
      <w:rPr>
        <w:sz w:val="24"/>
        <w:szCs w:val="24"/>
      </w:rPr>
    </w:pPr>
    <w:r w:rsidRPr="005241FB">
      <w:rPr>
        <w:sz w:val="24"/>
        <w:szCs w:val="24"/>
      </w:rPr>
      <w:t xml:space="preserve">OPEN – CONSENT – </w:t>
    </w:r>
    <w:r w:rsidR="00A84ECF">
      <w:rPr>
        <w:sz w:val="24"/>
        <w:szCs w:val="24"/>
      </w:rPr>
      <w:t>6-</w:t>
    </w:r>
    <w:r w:rsidR="00A84ECF" w:rsidRPr="00A84ECF">
      <w:rPr>
        <w:sz w:val="24"/>
        <w:szCs w:val="24"/>
      </w:rPr>
      <w:fldChar w:fldCharType="begin"/>
    </w:r>
    <w:r w:rsidR="00A84ECF" w:rsidRPr="00A84ECF">
      <w:rPr>
        <w:sz w:val="24"/>
        <w:szCs w:val="24"/>
      </w:rPr>
      <w:instrText xml:space="preserve"> PAGE   \* MERGEFORMAT </w:instrText>
    </w:r>
    <w:r w:rsidR="00A84ECF" w:rsidRPr="00A84ECF">
      <w:rPr>
        <w:sz w:val="24"/>
        <w:szCs w:val="24"/>
      </w:rPr>
      <w:fldChar w:fldCharType="separate"/>
    </w:r>
    <w:r w:rsidR="0061593F">
      <w:rPr>
        <w:noProof/>
        <w:sz w:val="24"/>
        <w:szCs w:val="24"/>
      </w:rPr>
      <w:t>1</w:t>
    </w:r>
    <w:r w:rsidR="00A84ECF" w:rsidRPr="00A84ECF">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31" w:rsidRDefault="00264131">
      <w:r>
        <w:separator/>
      </w:r>
    </w:p>
  </w:footnote>
  <w:footnote w:type="continuationSeparator" w:id="0">
    <w:p w:rsidR="00264131" w:rsidRDefault="00264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4E"/>
    <w:rsid w:val="000A2F8D"/>
    <w:rsid w:val="000C1585"/>
    <w:rsid w:val="00264131"/>
    <w:rsid w:val="002C4EC4"/>
    <w:rsid w:val="002E0823"/>
    <w:rsid w:val="0032754E"/>
    <w:rsid w:val="00397D66"/>
    <w:rsid w:val="003B1821"/>
    <w:rsid w:val="005A3DA9"/>
    <w:rsid w:val="005F455D"/>
    <w:rsid w:val="0061593F"/>
    <w:rsid w:val="0064318A"/>
    <w:rsid w:val="007E77F0"/>
    <w:rsid w:val="008E66E6"/>
    <w:rsid w:val="009B3CC2"/>
    <w:rsid w:val="009B68EF"/>
    <w:rsid w:val="00A84ECF"/>
    <w:rsid w:val="00AC7B05"/>
    <w:rsid w:val="00BE61DB"/>
    <w:rsid w:val="00D713C6"/>
    <w:rsid w:val="00F34157"/>
    <w:rsid w:val="00FC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C0E94-2868-4185-A0F2-DCFE5EFA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754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754E"/>
    <w:rPr>
      <w:sz w:val="23"/>
      <w:szCs w:val="23"/>
    </w:rPr>
  </w:style>
  <w:style w:type="character" w:customStyle="1" w:styleId="BodyTextChar">
    <w:name w:val="Body Text Char"/>
    <w:basedOn w:val="DefaultParagraphFont"/>
    <w:link w:val="BodyText"/>
    <w:uiPriority w:val="1"/>
    <w:rsid w:val="0032754E"/>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32754E"/>
    <w:pPr>
      <w:tabs>
        <w:tab w:val="center" w:pos="4680"/>
        <w:tab w:val="right" w:pos="9360"/>
      </w:tabs>
    </w:pPr>
  </w:style>
  <w:style w:type="character" w:customStyle="1" w:styleId="FooterChar">
    <w:name w:val="Footer Char"/>
    <w:basedOn w:val="DefaultParagraphFont"/>
    <w:link w:val="Footer"/>
    <w:uiPriority w:val="99"/>
    <w:rsid w:val="0032754E"/>
    <w:rPr>
      <w:rFonts w:ascii="Times New Roman" w:eastAsia="Times New Roman" w:hAnsi="Times New Roman" w:cs="Times New Roman"/>
    </w:rPr>
  </w:style>
  <w:style w:type="paragraph" w:styleId="Header">
    <w:name w:val="header"/>
    <w:basedOn w:val="Normal"/>
    <w:link w:val="HeaderChar"/>
    <w:uiPriority w:val="99"/>
    <w:unhideWhenUsed/>
    <w:rsid w:val="00A84ECF"/>
    <w:pPr>
      <w:tabs>
        <w:tab w:val="center" w:pos="4680"/>
        <w:tab w:val="right" w:pos="9360"/>
      </w:tabs>
    </w:pPr>
  </w:style>
  <w:style w:type="character" w:customStyle="1" w:styleId="HeaderChar">
    <w:name w:val="Header Char"/>
    <w:basedOn w:val="DefaultParagraphFont"/>
    <w:link w:val="Header"/>
    <w:uiPriority w:val="99"/>
    <w:rsid w:val="00A84ECF"/>
    <w:rPr>
      <w:rFonts w:ascii="Times New Roman" w:eastAsia="Times New Roman" w:hAnsi="Times New Roman" w:cs="Times New Roman"/>
    </w:rPr>
  </w:style>
  <w:style w:type="paragraph" w:styleId="Revision">
    <w:name w:val="Revision"/>
    <w:hidden/>
    <w:uiPriority w:val="99"/>
    <w:semiHidden/>
    <w:rsid w:val="002C4EC4"/>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C4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F657EF1EEE547970F530E039D38EB" ma:contentTypeVersion="1" ma:contentTypeDescription="Create a new document." ma:contentTypeScope="" ma:versionID="d2a8b89cc32a75c4aaca3cfd2bdbcc3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7A6E7-9DDA-4BD8-B965-5A6938F552AA}"/>
</file>

<file path=customXml/itemProps2.xml><?xml version="1.0" encoding="utf-8"?>
<ds:datastoreItem xmlns:ds="http://schemas.openxmlformats.org/officeDocument/2006/customXml" ds:itemID="{0BF6B7F0-37BD-4440-9C20-0DDE29FFAB54}"/>
</file>

<file path=customXml/itemProps3.xml><?xml version="1.0" encoding="utf-8"?>
<ds:datastoreItem xmlns:ds="http://schemas.openxmlformats.org/officeDocument/2006/customXml" ds:itemID="{0C9125BB-DEB0-4BFA-8323-304C8D818D16}"/>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PresentationFormat>15|.DOCX</PresentationFormat>
  <Lines>21</Lines>
  <Paragraphs>5</Paragraphs>
  <ScaleCrop>false</ScaleCrop>
  <HeadingPairs>
    <vt:vector size="2" baseType="variant">
      <vt:variant>
        <vt:lpstr>Title</vt:lpstr>
      </vt:variant>
      <vt:variant>
        <vt:i4>1</vt:i4>
      </vt:variant>
    </vt:vector>
  </HeadingPairs>
  <TitlesOfParts>
    <vt:vector size="1" baseType="lpstr">
      <vt:lpstr>Naming Opportunity-Mo Agroforestry Research Site (Clean) (00227359).DOCX</vt:lpstr>
    </vt:vector>
  </TitlesOfParts>
  <Company>University of Missouri-Columbia</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Opportunity-Mo Agroforestry Research Site (Clean) (00227359).DOCX</dc:title>
  <dc:subject/>
  <dc:creator>Blevins, Michelle M.</dc:creator>
  <cp:keywords/>
  <dc:description/>
  <cp:lastModifiedBy>Harmon, Cindy S. (Curators)</cp:lastModifiedBy>
  <cp:revision>3</cp:revision>
  <cp:lastPrinted>2019-03-25T20:43:00Z</cp:lastPrinted>
  <dcterms:created xsi:type="dcterms:W3CDTF">2019-03-27T16:47:00Z</dcterms:created>
  <dcterms:modified xsi:type="dcterms:W3CDTF">2019-03-27T16:49:00Z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0x01010044BF657EF1EEE547970F530E039D38EB</vt:lpwstr>
  </property>
  <property fmtid="{D5CDD505-2E9C-101B-9397-08002B2CF9AE}" pid="3" name="Order">
    <vt:r8>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